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CA5" w14:textId="77777777" w:rsidR="00B158D6" w:rsidRDefault="009B5FD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198AB4E4" wp14:editId="794A4D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08810" cy="291719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810" cy="2917190"/>
                        </a:xfrm>
                        <a:custGeom>
                          <a:avLst/>
                          <a:gdLst>
                            <a:gd name="T0" fmla="*/ 3006 w 3006"/>
                            <a:gd name="T1" fmla="*/ 305 h 4594"/>
                            <a:gd name="T2" fmla="*/ 2999 w 3006"/>
                            <a:gd name="T3" fmla="*/ 309 h 4594"/>
                            <a:gd name="T4" fmla="*/ 2500 w 3006"/>
                            <a:gd name="T5" fmla="*/ 0 h 4594"/>
                            <a:gd name="T6" fmla="*/ 0 w 3006"/>
                            <a:gd name="T7" fmla="*/ 0 h 4594"/>
                            <a:gd name="T8" fmla="*/ 0 w 3006"/>
                            <a:gd name="T9" fmla="*/ 3614 h 4594"/>
                            <a:gd name="T10" fmla="*/ 1063 w 3006"/>
                            <a:gd name="T11" fmla="*/ 4594 h 4594"/>
                            <a:gd name="T12" fmla="*/ 1063 w 3006"/>
                            <a:gd name="T13" fmla="*/ 1535 h 4594"/>
                            <a:gd name="T14" fmla="*/ 1063 w 3006"/>
                            <a:gd name="T15" fmla="*/ 1534 h 4594"/>
                            <a:gd name="T16" fmla="*/ 1062 w 3006"/>
                            <a:gd name="T17" fmla="*/ 1535 h 4594"/>
                            <a:gd name="T18" fmla="*/ 1063 w 3006"/>
                            <a:gd name="T19" fmla="*/ 1532 h 4594"/>
                            <a:gd name="T20" fmla="*/ 1063 w 3006"/>
                            <a:gd name="T21" fmla="*/ 1534 h 4594"/>
                            <a:gd name="T22" fmla="*/ 1065 w 3006"/>
                            <a:gd name="T23" fmla="*/ 1532 h 4594"/>
                            <a:gd name="T24" fmla="*/ 2384 w 3006"/>
                            <a:gd name="T25" fmla="*/ 702 h 4594"/>
                            <a:gd name="T26" fmla="*/ 2379 w 3006"/>
                            <a:gd name="T27" fmla="*/ 702 h 4594"/>
                            <a:gd name="T28" fmla="*/ 2990 w 3006"/>
                            <a:gd name="T29" fmla="*/ 316 h 4594"/>
                            <a:gd name="T30" fmla="*/ 3006 w 3006"/>
                            <a:gd name="T31" fmla="*/ 327 h 4594"/>
                            <a:gd name="T32" fmla="*/ 3006 w 3006"/>
                            <a:gd name="T33" fmla="*/ 316 h 4594"/>
                            <a:gd name="T34" fmla="*/ 3006 w 3006"/>
                            <a:gd name="T35" fmla="*/ 309 h 4594"/>
                            <a:gd name="T36" fmla="*/ 3006 w 3006"/>
                            <a:gd name="T37" fmla="*/ 305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3006" y="305"/>
                              </a:moveTo>
                              <a:lnTo>
                                <a:pt x="2999" y="309"/>
                              </a:lnTo>
                              <a:lnTo>
                                <a:pt x="2500" y="0"/>
                              </a:lnTo>
                              <a:lnTo>
                                <a:pt x="0" y="0"/>
                              </a:lnTo>
                              <a:lnTo>
                                <a:pt x="0" y="3614"/>
                              </a:lnTo>
                              <a:lnTo>
                                <a:pt x="1063" y="4594"/>
                              </a:lnTo>
                              <a:lnTo>
                                <a:pt x="1063" y="1535"/>
                              </a:lnTo>
                              <a:lnTo>
                                <a:pt x="1063" y="1534"/>
                              </a:lnTo>
                              <a:lnTo>
                                <a:pt x="1062" y="1535"/>
                              </a:lnTo>
                              <a:lnTo>
                                <a:pt x="1063" y="1532"/>
                              </a:lnTo>
                              <a:lnTo>
                                <a:pt x="1063" y="1534"/>
                              </a:lnTo>
                              <a:lnTo>
                                <a:pt x="1065" y="1532"/>
                              </a:lnTo>
                              <a:lnTo>
                                <a:pt x="2384" y="702"/>
                              </a:lnTo>
                              <a:lnTo>
                                <a:pt x="2379" y="702"/>
                              </a:lnTo>
                              <a:lnTo>
                                <a:pt x="2990" y="316"/>
                              </a:lnTo>
                              <a:lnTo>
                                <a:pt x="3006" y="327"/>
                              </a:lnTo>
                              <a:lnTo>
                                <a:pt x="3006" y="316"/>
                              </a:lnTo>
                              <a:lnTo>
                                <a:pt x="3006" y="309"/>
                              </a:lnTo>
                              <a:lnTo>
                                <a:pt x="3006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A01E" id="docshape1" o:spid="_x0000_s1026" style="position:absolute;margin-left:0;margin-top:0;width:150.3pt;height:229.7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6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" path="m3006,305r-7,4l2500,,,,,3614r1063,980l1063,1535r,-1l1062,1535r1,-3l1063,1534r2,-2l2384,702r-5,l2990,316r16,11l3006,316r,-7l3006,305xe" fillcolor="#eeeeef" stroked="f">
                <v:path arrowok="t" o:connecttype="custom" o:connectlocs="1908810,193675;1904365,196215;1587500,0;0,0;0,2294890;675005,2917190;675005,974725;675005,974090;674370,974725;675005,972820;675005,974090;676275,972820;1513840,445770;1510665,445770;1898650,200660;1908810,207645;1908810,200660;1908810,196215;1908810,193675" o:connectangles="0,0,0,0,0,0,0,0,0,0,0,0,0,0,0,0,0,0,0"/>
                <w10:wrap anchorx="page" anchory="page"/>
              </v:shape>
            </w:pict>
          </mc:Fallback>
        </mc:AlternateContent>
      </w:r>
    </w:p>
    <w:p w14:paraId="150E02B5" w14:textId="77777777" w:rsidR="00B158D6" w:rsidRDefault="00B158D6">
      <w:pPr>
        <w:pStyle w:val="BodyText"/>
        <w:spacing w:before="7"/>
        <w:rPr>
          <w:rFonts w:ascii="Times New Roman"/>
          <w:b w:val="0"/>
          <w:sz w:val="16"/>
        </w:rPr>
      </w:pPr>
    </w:p>
    <w:p w14:paraId="558A8849" w14:textId="77777777" w:rsidR="00B158D6" w:rsidRDefault="00004358">
      <w:pPr>
        <w:pStyle w:val="BodyText"/>
        <w:ind w:left="68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290887B" wp14:editId="6DD0A7AE">
            <wp:extent cx="2165637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63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2AA4" w14:textId="77777777" w:rsidR="00B158D6" w:rsidRDefault="00004358" w:rsidP="00FB0D30">
      <w:pPr>
        <w:pStyle w:val="BodyText"/>
        <w:spacing w:before="99"/>
        <w:ind w:left="4053" w:right="4592"/>
      </w:pPr>
      <w:r>
        <w:t>Role</w:t>
      </w:r>
      <w:r>
        <w:rPr>
          <w:spacing w:val="-7"/>
        </w:rPr>
        <w:t xml:space="preserve"> </w:t>
      </w:r>
      <w:r>
        <w:rPr>
          <w:spacing w:val="-2"/>
        </w:rPr>
        <w:t>Profile</w:t>
      </w:r>
    </w:p>
    <w:p w14:paraId="61BFB26A" w14:textId="77777777" w:rsidR="00B158D6" w:rsidRDefault="00B158D6">
      <w:pPr>
        <w:spacing w:before="1"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503"/>
      </w:tblGrid>
      <w:tr w:rsidR="00B158D6" w14:paraId="1D14C8CE" w14:textId="77777777" w:rsidTr="000F538F">
        <w:trPr>
          <w:trHeight w:val="532"/>
        </w:trPr>
        <w:tc>
          <w:tcPr>
            <w:tcW w:w="2305" w:type="dxa"/>
          </w:tcPr>
          <w:p w14:paraId="122C685F" w14:textId="77777777" w:rsidR="00B158D6" w:rsidRDefault="00004358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7503" w:type="dxa"/>
          </w:tcPr>
          <w:p w14:paraId="4CACD283" w14:textId="37937C41" w:rsidR="00B158D6" w:rsidRDefault="000F538F" w:rsidP="00FB0D30">
            <w:pPr>
              <w:pStyle w:val="TableParagraph"/>
              <w:spacing w:before="117"/>
              <w:ind w:left="107" w:right="372"/>
              <w:jc w:val="both"/>
            </w:pPr>
            <w:r>
              <w:rPr>
                <w:rFonts w:ascii="SegoeUI" w:eastAsiaTheme="minorHAnsi" w:hAnsi="SegoeUI" w:cs="SegoeUI"/>
                <w:lang w:val="en-GB"/>
              </w:rPr>
              <w:t>Contract Delivery Surveyor (Repairs &amp; Voids)</w:t>
            </w:r>
          </w:p>
        </w:tc>
      </w:tr>
      <w:tr w:rsidR="00B158D6" w14:paraId="17E71FE0" w14:textId="77777777" w:rsidTr="000F538F">
        <w:trPr>
          <w:trHeight w:val="532"/>
        </w:trPr>
        <w:tc>
          <w:tcPr>
            <w:tcW w:w="2305" w:type="dxa"/>
          </w:tcPr>
          <w:p w14:paraId="416838D0" w14:textId="77777777" w:rsidR="00B158D6" w:rsidRDefault="0000435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Department:</w:t>
            </w:r>
          </w:p>
        </w:tc>
        <w:tc>
          <w:tcPr>
            <w:tcW w:w="7503" w:type="dxa"/>
          </w:tcPr>
          <w:p w14:paraId="56586352" w14:textId="77777777" w:rsidR="00B158D6" w:rsidRDefault="00004358" w:rsidP="00FB0D30">
            <w:pPr>
              <w:pStyle w:val="TableParagraph"/>
              <w:ind w:left="107" w:right="372"/>
              <w:jc w:val="both"/>
            </w:pP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(IHMT)</w:t>
            </w:r>
          </w:p>
        </w:tc>
      </w:tr>
      <w:tr w:rsidR="00B158D6" w14:paraId="400F76F0" w14:textId="77777777" w:rsidTr="000F538F">
        <w:trPr>
          <w:trHeight w:val="1261"/>
        </w:trPr>
        <w:tc>
          <w:tcPr>
            <w:tcW w:w="2305" w:type="dxa"/>
          </w:tcPr>
          <w:p w14:paraId="18BE9B1C" w14:textId="77777777" w:rsidR="00B158D6" w:rsidRDefault="0000435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7503" w:type="dxa"/>
          </w:tcPr>
          <w:p w14:paraId="326EE7E4" w14:textId="03D8C3D4" w:rsidR="000F538F" w:rsidRPr="000F538F" w:rsidRDefault="000F538F" w:rsidP="000F538F">
            <w:pPr>
              <w:widowControl/>
              <w:adjustRightInd w:val="0"/>
              <w:rPr>
                <w:rFonts w:ascii="SegoeUI" w:eastAsiaTheme="minorHAnsi" w:hAnsi="SegoeUI" w:cs="SegoeUI"/>
                <w:lang w:val="en-GB"/>
              </w:rPr>
            </w:pPr>
            <w:r w:rsidRPr="000F538F">
              <w:rPr>
                <w:rFonts w:ascii="SegoeUI" w:eastAsiaTheme="minorHAnsi" w:hAnsi="SegoeUI" w:cs="SegoeUI"/>
                <w:lang w:val="en-GB"/>
              </w:rPr>
              <w:t>Support the effective delivery of contracted maintenance services</w:t>
            </w:r>
            <w:r w:rsidRPr="000F538F">
              <w:rPr>
                <w:rFonts w:ascii="SegoeUI" w:eastAsiaTheme="minorHAnsi" w:hAnsi="SegoeUI" w:cs="SegoeUI"/>
                <w:lang w:val="en-GB"/>
              </w:rPr>
              <w:t xml:space="preserve"> </w:t>
            </w:r>
            <w:r w:rsidRPr="000F538F">
              <w:rPr>
                <w:rFonts w:ascii="SegoeUI" w:eastAsiaTheme="minorHAnsi" w:hAnsi="SegoeUI" w:cs="SegoeUI"/>
                <w:lang w:val="en-GB"/>
              </w:rPr>
              <w:t xml:space="preserve">ensuring delivery is in a timely, cost effective, customer focused and </w:t>
            </w:r>
            <w:proofErr w:type="gramStart"/>
            <w:r w:rsidRPr="000F538F">
              <w:rPr>
                <w:rFonts w:ascii="SegoeUI" w:eastAsiaTheme="minorHAnsi" w:hAnsi="SegoeUI" w:cs="SegoeUI"/>
                <w:lang w:val="en-GB"/>
              </w:rPr>
              <w:t>safe</w:t>
            </w:r>
            <w:proofErr w:type="gramEnd"/>
          </w:p>
          <w:p w14:paraId="635146A1" w14:textId="552894DB" w:rsidR="00E87D30" w:rsidRPr="000F538F" w:rsidRDefault="000F538F" w:rsidP="000F538F">
            <w:pPr>
              <w:widowControl/>
              <w:adjustRightInd w:val="0"/>
              <w:rPr>
                <w:rFonts w:ascii="SegoeUI" w:eastAsiaTheme="minorHAnsi" w:hAnsi="SegoeUI" w:cs="SegoeUI"/>
                <w:lang w:val="en-GB"/>
              </w:rPr>
            </w:pPr>
            <w:r w:rsidRPr="000F538F">
              <w:rPr>
                <w:rFonts w:ascii="SegoeUI" w:eastAsiaTheme="minorHAnsi" w:hAnsi="SegoeUI" w:cs="SegoeUI"/>
                <w:lang w:val="en-GB"/>
              </w:rPr>
              <w:t>manner in line with budgets and legislative requirements whilst</w:t>
            </w:r>
            <w:r w:rsidRPr="000F538F">
              <w:rPr>
                <w:rFonts w:ascii="SegoeUI" w:eastAsiaTheme="minorHAnsi" w:hAnsi="SegoeUI" w:cs="SegoeUI"/>
                <w:lang w:val="en-GB"/>
              </w:rPr>
              <w:t xml:space="preserve"> </w:t>
            </w:r>
            <w:r w:rsidRPr="000F538F">
              <w:rPr>
                <w:rFonts w:ascii="SegoeUI" w:eastAsiaTheme="minorHAnsi" w:hAnsi="SegoeUI" w:cs="SegoeUI"/>
                <w:lang w:val="en-GB"/>
              </w:rPr>
              <w:t>achieving the contract SLAs and KPIs.</w:t>
            </w:r>
          </w:p>
        </w:tc>
      </w:tr>
      <w:tr w:rsidR="00B158D6" w14:paraId="1058FCC9" w14:textId="77777777" w:rsidTr="000F538F">
        <w:trPr>
          <w:trHeight w:val="532"/>
        </w:trPr>
        <w:tc>
          <w:tcPr>
            <w:tcW w:w="2305" w:type="dxa"/>
          </w:tcPr>
          <w:p w14:paraId="2C52B6F8" w14:textId="77777777" w:rsidR="00B158D6" w:rsidRDefault="00004358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5"/>
              </w:rPr>
              <w:t xml:space="preserve"> to:</w:t>
            </w:r>
          </w:p>
        </w:tc>
        <w:tc>
          <w:tcPr>
            <w:tcW w:w="7503" w:type="dxa"/>
          </w:tcPr>
          <w:p w14:paraId="7C422381" w14:textId="20E00B41" w:rsidR="00F22358" w:rsidRPr="00F22358" w:rsidRDefault="000F538F" w:rsidP="00F22358">
            <w:pPr>
              <w:pStyle w:val="TableParagraph"/>
              <w:spacing w:before="117"/>
              <w:ind w:left="107" w:right="372"/>
              <w:jc w:val="both"/>
              <w:rPr>
                <w:spacing w:val="-2"/>
              </w:rPr>
            </w:pPr>
            <w:r>
              <w:rPr>
                <w:rFonts w:ascii="SegoeUI" w:eastAsiaTheme="minorHAnsi" w:hAnsi="SegoeUI" w:cs="SegoeUI"/>
                <w:lang w:val="en-GB"/>
              </w:rPr>
              <w:t>Contract Manager</w:t>
            </w:r>
          </w:p>
        </w:tc>
      </w:tr>
      <w:tr w:rsidR="00B158D6" w14:paraId="44D14075" w14:textId="77777777" w:rsidTr="000F538F">
        <w:trPr>
          <w:trHeight w:val="532"/>
        </w:trPr>
        <w:tc>
          <w:tcPr>
            <w:tcW w:w="2305" w:type="dxa"/>
          </w:tcPr>
          <w:p w14:paraId="40E6544E" w14:textId="77777777" w:rsidR="00B158D6" w:rsidRDefault="00004358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for:</w:t>
            </w:r>
          </w:p>
        </w:tc>
        <w:tc>
          <w:tcPr>
            <w:tcW w:w="7503" w:type="dxa"/>
          </w:tcPr>
          <w:p w14:paraId="5F3D1165" w14:textId="143B2806" w:rsidR="00B158D6" w:rsidRDefault="000F538F" w:rsidP="00FB0D30">
            <w:pPr>
              <w:pStyle w:val="TableParagraph"/>
              <w:spacing w:before="117"/>
              <w:ind w:left="107" w:right="372"/>
              <w:jc w:val="both"/>
            </w:pPr>
            <w:r>
              <w:rPr>
                <w:rFonts w:ascii="SegoeUI" w:eastAsiaTheme="minorHAnsi" w:hAnsi="SegoeUI" w:cs="SegoeUI"/>
                <w:lang w:val="en-GB"/>
              </w:rPr>
              <w:t>Contractors &amp; Sub-contractors</w:t>
            </w:r>
          </w:p>
        </w:tc>
      </w:tr>
      <w:tr w:rsidR="00B158D6" w14:paraId="2305294E" w14:textId="77777777" w:rsidTr="000F538F">
        <w:trPr>
          <w:trHeight w:val="532"/>
        </w:trPr>
        <w:tc>
          <w:tcPr>
            <w:tcW w:w="2305" w:type="dxa"/>
          </w:tcPr>
          <w:p w14:paraId="2AA2B082" w14:textId="77777777" w:rsidR="00B158D6" w:rsidRDefault="00004358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Disclosure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</w:p>
        </w:tc>
        <w:tc>
          <w:tcPr>
            <w:tcW w:w="7503" w:type="dxa"/>
          </w:tcPr>
          <w:p w14:paraId="3E5A2333" w14:textId="3ADB7F94" w:rsidR="00B158D6" w:rsidRDefault="000F538F" w:rsidP="00FB0D30">
            <w:pPr>
              <w:pStyle w:val="TableParagraph"/>
              <w:spacing w:before="117"/>
              <w:ind w:left="107" w:right="372"/>
              <w:jc w:val="both"/>
            </w:pPr>
            <w:r>
              <w:t>Standard</w:t>
            </w:r>
            <w:r w:rsidR="00004358">
              <w:rPr>
                <w:spacing w:val="-5"/>
              </w:rPr>
              <w:t xml:space="preserve"> </w:t>
            </w:r>
            <w:r w:rsidR="00004358">
              <w:t>DBS</w:t>
            </w:r>
            <w:r w:rsidR="00004358">
              <w:rPr>
                <w:spacing w:val="-3"/>
              </w:rPr>
              <w:t xml:space="preserve"> </w:t>
            </w:r>
            <w:r w:rsidR="00CE0CEF">
              <w:rPr>
                <w:spacing w:val="-4"/>
              </w:rPr>
              <w:t>check and Social Media check</w:t>
            </w:r>
          </w:p>
        </w:tc>
      </w:tr>
      <w:tr w:rsidR="00B158D6" w14:paraId="687445CA" w14:textId="77777777" w:rsidTr="000F538F">
        <w:trPr>
          <w:trHeight w:val="532"/>
        </w:trPr>
        <w:tc>
          <w:tcPr>
            <w:tcW w:w="2305" w:type="dxa"/>
          </w:tcPr>
          <w:p w14:paraId="180E5DA5" w14:textId="77777777" w:rsidR="00B158D6" w:rsidRDefault="00004358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</w:p>
        </w:tc>
        <w:tc>
          <w:tcPr>
            <w:tcW w:w="7503" w:type="dxa"/>
          </w:tcPr>
          <w:p w14:paraId="7A2B4147" w14:textId="77777777" w:rsidR="00B158D6" w:rsidRDefault="00004358" w:rsidP="00FB0D30">
            <w:pPr>
              <w:pStyle w:val="TableParagraph"/>
              <w:spacing w:before="117"/>
              <w:ind w:left="107" w:right="372"/>
              <w:jc w:val="both"/>
            </w:pPr>
            <w:r>
              <w:rPr>
                <w:u w:val="single"/>
              </w:rPr>
              <w:t>Frontline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Worker</w:t>
            </w:r>
          </w:p>
        </w:tc>
      </w:tr>
      <w:tr w:rsidR="007C4308" w14:paraId="3A0CA54F" w14:textId="77777777" w:rsidTr="000F538F">
        <w:trPr>
          <w:trHeight w:val="532"/>
        </w:trPr>
        <w:tc>
          <w:tcPr>
            <w:tcW w:w="2305" w:type="dxa"/>
          </w:tcPr>
          <w:p w14:paraId="4FA6401B" w14:textId="77777777" w:rsidR="007C4308" w:rsidRPr="006200DF" w:rsidRDefault="007C4308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Key Duties:</w:t>
            </w:r>
          </w:p>
        </w:tc>
        <w:tc>
          <w:tcPr>
            <w:tcW w:w="7503" w:type="dxa"/>
          </w:tcPr>
          <w:p w14:paraId="55651527" w14:textId="6DD0FA3C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 xml:space="preserve">Support and manage the delivery of </w:t>
            </w:r>
            <w:proofErr w:type="gramStart"/>
            <w:r w:rsidRPr="000F538F">
              <w:t>high quality</w:t>
            </w:r>
            <w:proofErr w:type="gramEnd"/>
            <w:r w:rsidRPr="000F538F">
              <w:t xml:space="preserve"> maintenance</w:t>
            </w:r>
            <w:r>
              <w:t xml:space="preserve"> </w:t>
            </w:r>
            <w:r w:rsidRPr="000F538F">
              <w:t>services through Midland Heart’s supply chain partners ensuring</w:t>
            </w:r>
            <w:r w:rsidRPr="000F538F">
              <w:t xml:space="preserve"> </w:t>
            </w:r>
            <w:r w:rsidRPr="000F538F">
              <w:t>that operational objectives including KPIs are achieved.</w:t>
            </w:r>
          </w:p>
          <w:p w14:paraId="5263DD64" w14:textId="77777777" w:rsid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Ensure Health and Safety requirements are met in accordance wit</w:t>
            </w:r>
            <w:r>
              <w:t xml:space="preserve">h </w:t>
            </w:r>
            <w:r w:rsidRPr="000F538F">
              <w:t xml:space="preserve">Midland Hearts policy, </w:t>
            </w:r>
            <w:proofErr w:type="gramStart"/>
            <w:r w:rsidRPr="000F538F">
              <w:t>procedures</w:t>
            </w:r>
            <w:proofErr w:type="gramEnd"/>
            <w:r w:rsidRPr="000F538F">
              <w:t xml:space="preserve"> and statutory requirements.</w:t>
            </w:r>
          </w:p>
          <w:p w14:paraId="39E29825" w14:textId="77777777" w:rsid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To ensure all completed works comply with the current regulations</w:t>
            </w:r>
            <w:r>
              <w:t xml:space="preserve"> </w:t>
            </w:r>
            <w:r w:rsidRPr="000F538F">
              <w:t>and legislative requirements.</w:t>
            </w:r>
          </w:p>
          <w:p w14:paraId="167B9370" w14:textId="5EB1BA27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Work closely with the wider Midland Heart team to ensure that</w:t>
            </w:r>
            <w:r>
              <w:t xml:space="preserve"> </w:t>
            </w:r>
            <w:r w:rsidRPr="000F538F">
              <w:t>customers are provided with a seamless service and a high level of</w:t>
            </w:r>
            <w:r>
              <w:t xml:space="preserve"> </w:t>
            </w:r>
            <w:r w:rsidRPr="000F538F">
              <w:t>customer care in every aspect of the service delivered.</w:t>
            </w:r>
          </w:p>
          <w:p w14:paraId="4B6E7DD6" w14:textId="50FE4A47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Support the delivery of an effective Out of Hours Emergency Service,</w:t>
            </w:r>
            <w:r>
              <w:t xml:space="preserve"> </w:t>
            </w:r>
            <w:r w:rsidRPr="000F538F">
              <w:t xml:space="preserve">including the requirement to participate in the on call / standby </w:t>
            </w:r>
            <w:proofErr w:type="spellStart"/>
            <w:r w:rsidRPr="000F538F">
              <w:t>rota</w:t>
            </w:r>
            <w:proofErr w:type="spellEnd"/>
            <w:r w:rsidRPr="000F538F">
              <w:t>.</w:t>
            </w:r>
          </w:p>
          <w:p w14:paraId="59518401" w14:textId="498866AE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Support the delivery of qualitative and quantitative performance</w:t>
            </w:r>
            <w:r>
              <w:t xml:space="preserve"> </w:t>
            </w:r>
            <w:r w:rsidRPr="000F538F">
              <w:t>targets for respective contracts.</w:t>
            </w:r>
          </w:p>
          <w:p w14:paraId="2BFB1E2A" w14:textId="139ABE50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Provide timely and concise reporting regimes in line with Midland</w:t>
            </w:r>
            <w:r>
              <w:t xml:space="preserve"> </w:t>
            </w:r>
            <w:r w:rsidRPr="000F538F">
              <w:t>Heart processes and procedures.</w:t>
            </w:r>
          </w:p>
          <w:p w14:paraId="2C22C9AC" w14:textId="0D600F7C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To undertake key building surveys to Midland Hearts portfolio for</w:t>
            </w:r>
            <w:r>
              <w:t xml:space="preserve"> </w:t>
            </w:r>
            <w:r w:rsidRPr="000F538F">
              <w:t>condition validation of programmed works and Energy Performance</w:t>
            </w:r>
            <w:r>
              <w:t xml:space="preserve"> </w:t>
            </w:r>
            <w:r w:rsidRPr="000F538F">
              <w:t>Certificate surveys of properties as required.</w:t>
            </w:r>
          </w:p>
          <w:p w14:paraId="73451324" w14:textId="25CC33F0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Ensure that all relevant certification is provided for all works</w:t>
            </w:r>
            <w:r>
              <w:t xml:space="preserve"> </w:t>
            </w:r>
            <w:r w:rsidRPr="000F538F">
              <w:t>completed.</w:t>
            </w:r>
          </w:p>
          <w:p w14:paraId="12A44244" w14:textId="69C8A9F8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To represent Midland Heart as required at internal, external and</w:t>
            </w:r>
            <w:r>
              <w:t xml:space="preserve"> </w:t>
            </w:r>
            <w:r w:rsidRPr="000F538F">
              <w:t>contract review meetings.</w:t>
            </w:r>
          </w:p>
          <w:p w14:paraId="2DFD64B2" w14:textId="1ADEC795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To undertake any other duties within the scope of the post, as</w:t>
            </w:r>
            <w:r>
              <w:t xml:space="preserve"> </w:t>
            </w:r>
            <w:r w:rsidRPr="000F538F">
              <w:t xml:space="preserve">directed </w:t>
            </w:r>
            <w:r w:rsidRPr="000F538F">
              <w:lastRenderedPageBreak/>
              <w:t>by Midland Heart’s management team and on occasions</w:t>
            </w:r>
            <w:r>
              <w:t xml:space="preserve"> </w:t>
            </w:r>
            <w:r w:rsidRPr="000F538F">
              <w:t>work in other areas of Midland Heart as required.</w:t>
            </w:r>
          </w:p>
          <w:p w14:paraId="00F045F3" w14:textId="239B167B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Ensure the efficient delivery of Midland Hearts repairs and void</w:t>
            </w:r>
            <w:r>
              <w:t xml:space="preserve"> </w:t>
            </w:r>
            <w:r w:rsidRPr="000F538F">
              <w:t>service through the contracted supply chain.</w:t>
            </w:r>
          </w:p>
          <w:p w14:paraId="5E9849EC" w14:textId="19139E70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Support the Contract Manager to fulfil their function as lead</w:t>
            </w:r>
            <w:r>
              <w:t xml:space="preserve"> </w:t>
            </w:r>
            <w:r w:rsidRPr="000F538F">
              <w:t>contract administrator for relevant supply chain management.</w:t>
            </w:r>
          </w:p>
          <w:p w14:paraId="51778058" w14:textId="58EF6E78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Ensure that all Midland Heart properties are maintained to the</w:t>
            </w:r>
            <w:r>
              <w:t xml:space="preserve"> </w:t>
            </w:r>
            <w:r w:rsidRPr="000F538F">
              <w:t>decent homes standard whilst creating a climate of innovation and</w:t>
            </w:r>
            <w:r>
              <w:t xml:space="preserve"> </w:t>
            </w:r>
            <w:r w:rsidRPr="000F538F">
              <w:t>opportunities for efficiencies.</w:t>
            </w:r>
          </w:p>
          <w:p w14:paraId="415AB686" w14:textId="219B202B" w:rsidR="000F538F" w:rsidRPr="000F538F" w:rsidRDefault="000F538F" w:rsidP="000F538F">
            <w:pPr>
              <w:pStyle w:val="TableParagraph"/>
              <w:spacing w:after="120"/>
              <w:ind w:left="137" w:right="372"/>
              <w:jc w:val="both"/>
              <w:rPr>
                <w:b/>
                <w:bCs/>
              </w:rPr>
            </w:pPr>
            <w:r w:rsidRPr="000F538F">
              <w:rPr>
                <w:b/>
                <w:bCs/>
              </w:rPr>
              <w:t>Financial Control and Value for Mone</w:t>
            </w:r>
            <w:r>
              <w:rPr>
                <w:b/>
                <w:bCs/>
              </w:rPr>
              <w:t>y</w:t>
            </w:r>
          </w:p>
          <w:p w14:paraId="5BD1878B" w14:textId="2B534AB2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Support in the monitoring of relevant budgets ensuring expenditure</w:t>
            </w:r>
            <w:r>
              <w:t xml:space="preserve"> </w:t>
            </w:r>
            <w:r w:rsidRPr="000F538F">
              <w:t>is robustly managed in line with Midland Hearts financial controls.</w:t>
            </w:r>
          </w:p>
          <w:p w14:paraId="5C93A6AF" w14:textId="14C36C2B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To ensure that all spend is managed within the appropriate levels of</w:t>
            </w:r>
            <w:r>
              <w:t xml:space="preserve"> </w:t>
            </w:r>
            <w:r w:rsidRPr="000F538F">
              <w:t>delegated authority and complies with Midland Heart Standing</w:t>
            </w:r>
            <w:r w:rsidRPr="000F538F">
              <w:t xml:space="preserve"> </w:t>
            </w:r>
            <w:r w:rsidRPr="000F538F">
              <w:t>Orders and Financial Regulations.</w:t>
            </w:r>
          </w:p>
          <w:p w14:paraId="1796D99F" w14:textId="28196EBC" w:rsidR="000F538F" w:rsidRPr="000F538F" w:rsidRDefault="000F538F" w:rsidP="000F538F">
            <w:pPr>
              <w:pStyle w:val="TableParagraph"/>
              <w:spacing w:after="120"/>
              <w:ind w:left="137" w:right="372"/>
              <w:jc w:val="both"/>
              <w:rPr>
                <w:b/>
                <w:bCs/>
              </w:rPr>
            </w:pPr>
            <w:r w:rsidRPr="000F538F">
              <w:rPr>
                <w:b/>
                <w:bCs/>
              </w:rPr>
              <w:t>Staff / Contractor Management</w:t>
            </w:r>
          </w:p>
          <w:p w14:paraId="4AA5EF43" w14:textId="0A9359E8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Support in the monitoring and review of performance and</w:t>
            </w:r>
            <w:r>
              <w:t xml:space="preserve"> </w:t>
            </w:r>
            <w:r w:rsidRPr="000F538F">
              <w:t>development of the contractor team providing expertise, coaching</w:t>
            </w:r>
            <w:r>
              <w:t xml:space="preserve"> </w:t>
            </w:r>
            <w:r w:rsidRPr="000F538F">
              <w:t>and other developmental support as required, ensuring a quality</w:t>
            </w:r>
            <w:r>
              <w:t xml:space="preserve"> </w:t>
            </w:r>
            <w:r w:rsidRPr="000F538F">
              <w:t>service is provided and performance is dealt with appropriately.</w:t>
            </w:r>
          </w:p>
          <w:p w14:paraId="43D3FAA7" w14:textId="3C14311B" w:rsidR="000F538F" w:rsidRPr="000F538F" w:rsidRDefault="000F538F" w:rsidP="000F538F">
            <w:pPr>
              <w:pStyle w:val="TableParagraph"/>
              <w:spacing w:after="120"/>
              <w:ind w:left="137" w:right="372"/>
              <w:jc w:val="both"/>
              <w:rPr>
                <w:b/>
                <w:bCs/>
              </w:rPr>
            </w:pPr>
            <w:r w:rsidRPr="000F538F">
              <w:rPr>
                <w:b/>
                <w:bCs/>
              </w:rPr>
              <w:t>Legal Compliance and Health and Safety Management.</w:t>
            </w:r>
          </w:p>
          <w:p w14:paraId="5BC29250" w14:textId="6C80B9D3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Ensure Health and Safety requirements are met in accordance with</w:t>
            </w:r>
            <w:r>
              <w:t xml:space="preserve"> </w:t>
            </w:r>
            <w:r w:rsidRPr="000F538F">
              <w:t xml:space="preserve">Midland hearts policy, </w:t>
            </w:r>
            <w:proofErr w:type="gramStart"/>
            <w:r w:rsidRPr="000F538F">
              <w:t>procedures</w:t>
            </w:r>
            <w:proofErr w:type="gramEnd"/>
            <w:r w:rsidRPr="000F538F">
              <w:t xml:space="preserve"> and statutory requirements.</w:t>
            </w:r>
          </w:p>
          <w:p w14:paraId="32CC4731" w14:textId="2165D49B" w:rsidR="000F538F" w:rsidRPr="000F538F" w:rsidRDefault="000F538F" w:rsidP="000F538F">
            <w:pPr>
              <w:pStyle w:val="TableParagraph"/>
              <w:spacing w:after="120"/>
              <w:ind w:left="137" w:right="372"/>
              <w:jc w:val="both"/>
              <w:rPr>
                <w:b/>
                <w:bCs/>
              </w:rPr>
            </w:pPr>
            <w:r w:rsidRPr="000F538F">
              <w:rPr>
                <w:b/>
                <w:bCs/>
              </w:rPr>
              <w:t>Customer Experience</w:t>
            </w:r>
          </w:p>
          <w:p w14:paraId="32D2F9C6" w14:textId="20F78816" w:rsidR="000F538F" w:rsidRPr="000F538F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Provide customers the opportunity to be involved within all areas of</w:t>
            </w:r>
            <w:r>
              <w:t xml:space="preserve"> </w:t>
            </w:r>
            <w:r w:rsidRPr="000F538F">
              <w:t>the repairs, voids and installation service as defined with the</w:t>
            </w:r>
            <w:r>
              <w:t xml:space="preserve"> </w:t>
            </w:r>
            <w:r w:rsidRPr="000F538F">
              <w:t>Involvement strategy. Ensuring service standards are challenged</w:t>
            </w:r>
            <w:r>
              <w:t xml:space="preserve"> </w:t>
            </w:r>
            <w:r w:rsidRPr="000F538F">
              <w:t>and tested by customers at regular intervals.</w:t>
            </w:r>
          </w:p>
          <w:p w14:paraId="73AFCB06" w14:textId="7281607C" w:rsidR="00936939" w:rsidRPr="00FB0D30" w:rsidRDefault="000F538F" w:rsidP="000F538F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</w:pPr>
            <w:r w:rsidRPr="000F538F">
              <w:t>Improve customer experience through the consistent achievement</w:t>
            </w:r>
            <w:r>
              <w:t xml:space="preserve"> </w:t>
            </w:r>
            <w:r w:rsidRPr="000F538F">
              <w:t>of high levels of customer satisfaction and improving service</w:t>
            </w:r>
            <w:r>
              <w:t xml:space="preserve"> </w:t>
            </w:r>
            <w:r w:rsidRPr="000F538F">
              <w:t>delivery through lesson learned from service failures.</w:t>
            </w:r>
          </w:p>
        </w:tc>
      </w:tr>
      <w:tr w:rsidR="00936939" w14:paraId="689E186D" w14:textId="77777777" w:rsidTr="000F538F">
        <w:trPr>
          <w:trHeight w:val="532"/>
        </w:trPr>
        <w:tc>
          <w:tcPr>
            <w:tcW w:w="2305" w:type="dxa"/>
          </w:tcPr>
          <w:p w14:paraId="122E928E" w14:textId="77777777" w:rsidR="00936939" w:rsidRDefault="00936939">
            <w:pPr>
              <w:pStyle w:val="TableParagraph"/>
              <w:spacing w:before="117"/>
              <w:ind w:left="108"/>
              <w:rPr>
                <w:b/>
              </w:rPr>
            </w:pPr>
            <w:r w:rsidRPr="00936939">
              <w:rPr>
                <w:b/>
              </w:rPr>
              <w:lastRenderedPageBreak/>
              <w:t>Education, Qualifications and Training</w:t>
            </w:r>
          </w:p>
        </w:tc>
        <w:tc>
          <w:tcPr>
            <w:tcW w:w="7503" w:type="dxa"/>
          </w:tcPr>
          <w:p w14:paraId="7663AAD8" w14:textId="0DD74ED4" w:rsidR="00936939" w:rsidRPr="000F538F" w:rsidRDefault="000F538F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 w:rsidRPr="004E73E5">
              <w:t>Rec</w:t>
            </w:r>
            <w:r w:rsidRPr="004E73E5">
              <w:t>ognised building / M&amp;E related qualification or supervisory site</w:t>
            </w:r>
            <w:r w:rsidRPr="004E73E5">
              <w:t xml:space="preserve"> </w:t>
            </w:r>
            <w:r w:rsidRPr="004E73E5">
              <w:t>management qualification or equivalent technical level of expertise</w:t>
            </w:r>
            <w:r w:rsidRPr="004E73E5">
              <w:t xml:space="preserve"> </w:t>
            </w:r>
            <w:r w:rsidRPr="004E73E5">
              <w:t>demonstrated through significant work experience.</w:t>
            </w:r>
          </w:p>
        </w:tc>
      </w:tr>
      <w:tr w:rsidR="00936939" w14:paraId="153A0900" w14:textId="77777777" w:rsidTr="000F538F">
        <w:trPr>
          <w:trHeight w:val="532"/>
        </w:trPr>
        <w:tc>
          <w:tcPr>
            <w:tcW w:w="2305" w:type="dxa"/>
          </w:tcPr>
          <w:p w14:paraId="141C0676" w14:textId="77777777" w:rsidR="00936939" w:rsidRPr="00936939" w:rsidRDefault="00936939">
            <w:pPr>
              <w:pStyle w:val="TableParagraph"/>
              <w:spacing w:before="117"/>
              <w:ind w:left="108"/>
              <w:rPr>
                <w:b/>
              </w:rPr>
            </w:pPr>
            <w:r w:rsidRPr="00936939">
              <w:rPr>
                <w:b/>
              </w:rPr>
              <w:t>Knowledge and Experience</w:t>
            </w:r>
          </w:p>
        </w:tc>
        <w:tc>
          <w:tcPr>
            <w:tcW w:w="7503" w:type="dxa"/>
          </w:tcPr>
          <w:p w14:paraId="7109B57C" w14:textId="0061D6FA" w:rsidR="00CE0CEF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 w:rsidRPr="004E73E5">
              <w:t>Excellent technical ability, with good knowledge of the appropriate</w:t>
            </w:r>
            <w: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>quality standards, building regulations and planning requirements.</w:t>
            </w:r>
          </w:p>
          <w:p w14:paraId="4480F3AF" w14:textId="269BD47F" w:rsid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>
              <w:rPr>
                <w:rFonts w:ascii="SegoeUI" w:eastAsiaTheme="minorHAnsi" w:hAnsi="SegoeUI" w:cs="SegoeUI"/>
                <w:lang w:val="en-GB"/>
              </w:rPr>
              <w:t>Proven experience of achieving challenging targets and objectives.</w:t>
            </w:r>
          </w:p>
          <w:p w14:paraId="4333E0F5" w14:textId="6F5C1B71" w:rsidR="004E73E5" w:rsidRP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>
              <w:rPr>
                <w:rFonts w:ascii="SegoeUI" w:eastAsiaTheme="minorHAnsi" w:hAnsi="SegoeUI" w:cs="SegoeUI"/>
                <w:lang w:val="en-GB"/>
              </w:rPr>
              <w:t>Experience of sector leading construction related and Compliance</w:t>
            </w:r>
            <w:r>
              <w:rPr>
                <w:rFonts w:ascii="SegoeUI" w:eastAsiaTheme="minorHAnsi" w:hAnsi="SegoeUI" w:cs="SegoeUI"/>
                <w:lang w:val="en-GB"/>
              </w:rP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>software.</w:t>
            </w:r>
          </w:p>
          <w:p w14:paraId="642C6337" w14:textId="77777777" w:rsidR="00EE41D3" w:rsidRDefault="004E73E5" w:rsidP="004E73E5">
            <w:pPr>
              <w:tabs>
                <w:tab w:val="left" w:pos="420"/>
              </w:tabs>
              <w:spacing w:before="120" w:after="120"/>
              <w:ind w:left="137" w:right="372"/>
              <w:jc w:val="both"/>
              <w:rPr>
                <w:rFonts w:ascii="SegoeUI-Bold" w:eastAsiaTheme="minorHAnsi" w:hAnsi="SegoeUI-Bold" w:cs="SegoeUI-Bold"/>
                <w:b/>
                <w:bCs/>
                <w:lang w:val="en-GB"/>
              </w:rPr>
            </w:pPr>
            <w:r>
              <w:rPr>
                <w:rFonts w:ascii="SegoeUI-Bold" w:eastAsiaTheme="minorHAnsi" w:hAnsi="SegoeUI-Bold" w:cs="SegoeUI-Bold"/>
                <w:b/>
                <w:bCs/>
                <w:lang w:val="en-GB"/>
              </w:rPr>
              <w:t>Knowledge</w:t>
            </w:r>
          </w:p>
          <w:p w14:paraId="7A2AC868" w14:textId="5889D7BB" w:rsid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 w:rsidRPr="004E73E5">
              <w:rPr>
                <w:rFonts w:ascii="SegoeUI" w:eastAsiaTheme="minorHAnsi" w:hAnsi="SegoeUI" w:cs="SegoeUI"/>
                <w:lang w:val="en-GB"/>
              </w:rPr>
              <w:t>Good construction knowledge including health and safety</w:t>
            </w:r>
            <w:r>
              <w:rPr>
                <w:rFonts w:ascii="SegoeUI" w:eastAsiaTheme="minorHAnsi" w:hAnsi="SegoeUI" w:cs="SegoeUI"/>
                <w:lang w:val="en-GB"/>
              </w:rP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>legislation, fire safety, and CDM Regulations.</w:t>
            </w:r>
          </w:p>
          <w:p w14:paraId="3B261659" w14:textId="1CD7B38B" w:rsid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>
              <w:rPr>
                <w:rFonts w:ascii="SegoeUI" w:eastAsiaTheme="minorHAnsi" w:hAnsi="SegoeUI" w:cs="SegoeUI"/>
                <w:lang w:val="en-GB"/>
              </w:rPr>
              <w:t>Ability to identify building defects and their remedies.</w:t>
            </w:r>
          </w:p>
          <w:p w14:paraId="1A0FAA06" w14:textId="7B14FE0D" w:rsid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>
              <w:rPr>
                <w:rFonts w:ascii="SegoeUI" w:eastAsiaTheme="minorHAnsi" w:hAnsi="SegoeUI" w:cs="SegoeUI"/>
                <w:lang w:val="en-GB"/>
              </w:rPr>
              <w:lastRenderedPageBreak/>
              <w:t>Ability to implement change and drive service improvement.</w:t>
            </w:r>
          </w:p>
          <w:p w14:paraId="6F632A89" w14:textId="542509E1" w:rsid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>
              <w:rPr>
                <w:rFonts w:ascii="SegoeUI" w:eastAsiaTheme="minorHAnsi" w:hAnsi="SegoeUI" w:cs="SegoeUI"/>
                <w:lang w:val="en-GB"/>
              </w:rPr>
              <w:t>Excellent planning, organisational and analytical skills.</w:t>
            </w:r>
          </w:p>
          <w:p w14:paraId="2BF8EB2F" w14:textId="04B00B03" w:rsidR="004E73E5" w:rsidRPr="004E73E5" w:rsidRDefault="004E73E5" w:rsidP="004E73E5">
            <w:pPr>
              <w:pStyle w:val="TableParagraph"/>
              <w:numPr>
                <w:ilvl w:val="0"/>
                <w:numId w:val="10"/>
              </w:numPr>
              <w:spacing w:after="120"/>
              <w:ind w:left="420" w:right="372" w:hanging="283"/>
              <w:jc w:val="both"/>
              <w:rPr>
                <w:rFonts w:ascii="SegoeUI" w:eastAsiaTheme="minorHAnsi" w:hAnsi="SegoeUI" w:cs="SegoeUI"/>
                <w:lang w:val="en-GB"/>
              </w:rPr>
            </w:pPr>
            <w:r>
              <w:rPr>
                <w:rFonts w:ascii="SegoeUI" w:eastAsiaTheme="minorHAnsi" w:hAnsi="SegoeUI" w:cs="SegoeUI"/>
                <w:lang w:val="en-GB"/>
              </w:rPr>
              <w:t>An understanding of Contract Law and procurement framework.</w:t>
            </w:r>
          </w:p>
          <w:p w14:paraId="184B20E7" w14:textId="26F01A44" w:rsidR="004E73E5" w:rsidRDefault="004E73E5" w:rsidP="004E73E5">
            <w:pPr>
              <w:tabs>
                <w:tab w:val="left" w:pos="420"/>
              </w:tabs>
              <w:spacing w:before="120" w:after="120"/>
              <w:ind w:left="137" w:right="372"/>
              <w:jc w:val="both"/>
            </w:pPr>
          </w:p>
        </w:tc>
      </w:tr>
      <w:tr w:rsidR="00936939" w14:paraId="7A48C4BE" w14:textId="77777777" w:rsidTr="000F538F">
        <w:trPr>
          <w:trHeight w:val="532"/>
        </w:trPr>
        <w:tc>
          <w:tcPr>
            <w:tcW w:w="2305" w:type="dxa"/>
          </w:tcPr>
          <w:p w14:paraId="6E77F8A0" w14:textId="77777777" w:rsidR="00936939" w:rsidRPr="00936939" w:rsidRDefault="00936939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lastRenderedPageBreak/>
              <w:t>Role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Behaviours</w:t>
            </w:r>
          </w:p>
        </w:tc>
        <w:tc>
          <w:tcPr>
            <w:tcW w:w="7503" w:type="dxa"/>
          </w:tcPr>
          <w:p w14:paraId="22E83DCF" w14:textId="77777777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>Excellent communication skills.</w:t>
            </w:r>
          </w:p>
          <w:p w14:paraId="575424CE" w14:textId="77777777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>Ability to demonstrate support in all situations and to formulate</w:t>
            </w:r>
            <w: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 xml:space="preserve">effective and appropriate responses </w:t>
            </w:r>
            <w:proofErr w:type="gramStart"/>
            <w:r w:rsidRPr="004E73E5">
              <w:rPr>
                <w:rFonts w:ascii="SegoeUI" w:eastAsiaTheme="minorHAnsi" w:hAnsi="SegoeUI" w:cs="SegoeUI"/>
                <w:lang w:val="en-GB"/>
              </w:rPr>
              <w:t>on the basis of</w:t>
            </w:r>
            <w:proofErr w:type="gramEnd"/>
            <w:r w:rsidRPr="004E73E5">
              <w:rPr>
                <w:rFonts w:ascii="SegoeUI" w:eastAsiaTheme="minorHAnsi" w:hAnsi="SegoeUI" w:cs="SegoeUI"/>
                <w:lang w:val="en-GB"/>
              </w:rPr>
              <w:t xml:space="preserve"> sound technical</w:t>
            </w:r>
            <w: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>knowledge.</w:t>
            </w:r>
          </w:p>
          <w:p w14:paraId="379F3561" w14:textId="77777777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>IT literate with thorough understanding and application of asset</w:t>
            </w:r>
            <w: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 xml:space="preserve">management systems, Word, Excel, </w:t>
            </w:r>
            <w:proofErr w:type="gramStart"/>
            <w:r w:rsidRPr="004E73E5">
              <w:rPr>
                <w:rFonts w:ascii="SegoeUI" w:eastAsiaTheme="minorHAnsi" w:hAnsi="SegoeUI" w:cs="SegoeUI"/>
                <w:lang w:val="en-GB"/>
              </w:rPr>
              <w:t>Access</w:t>
            </w:r>
            <w:proofErr w:type="gramEnd"/>
            <w:r w:rsidRPr="004E73E5">
              <w:rPr>
                <w:rFonts w:ascii="SegoeUI" w:eastAsiaTheme="minorHAnsi" w:hAnsi="SegoeUI" w:cs="SegoeUI"/>
                <w:lang w:val="en-GB"/>
              </w:rPr>
              <w:t xml:space="preserve"> and Power point.</w:t>
            </w:r>
          </w:p>
          <w:p w14:paraId="69EDB4CF" w14:textId="77777777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 xml:space="preserve">A motivator of people </w:t>
            </w:r>
            <w:proofErr w:type="gramStart"/>
            <w:r w:rsidRPr="004E73E5">
              <w:rPr>
                <w:rFonts w:ascii="SegoeUI" w:eastAsiaTheme="minorHAnsi" w:hAnsi="SegoeUI" w:cs="SegoeUI"/>
                <w:lang w:val="en-GB"/>
              </w:rPr>
              <w:t>in order to</w:t>
            </w:r>
            <w:proofErr w:type="gramEnd"/>
            <w:r w:rsidRPr="004E73E5">
              <w:rPr>
                <w:rFonts w:ascii="SegoeUI" w:eastAsiaTheme="minorHAnsi" w:hAnsi="SegoeUI" w:cs="SegoeUI"/>
                <w:lang w:val="en-GB"/>
              </w:rPr>
              <w:t xml:space="preserve"> deliver through a third party.</w:t>
            </w:r>
          </w:p>
          <w:p w14:paraId="4353258C" w14:textId="77777777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>Advocate of continuous improvement and new ways of working.</w:t>
            </w:r>
          </w:p>
          <w:p w14:paraId="4F170303" w14:textId="77777777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>Professional approach to all aspects of service delivery.</w:t>
            </w:r>
          </w:p>
          <w:p w14:paraId="22565E57" w14:textId="05BE1504" w:rsidR="004E73E5" w:rsidRP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 w:rsidRPr="004E73E5">
              <w:rPr>
                <w:rFonts w:ascii="SegoeUI" w:eastAsiaTheme="minorHAnsi" w:hAnsi="SegoeUI" w:cs="SegoeUI"/>
                <w:lang w:val="en-GB"/>
              </w:rPr>
              <w:t>Understanding and commitment to the principles of equality and</w:t>
            </w:r>
            <w:r>
              <w:t xml:space="preserve"> </w:t>
            </w:r>
            <w:r w:rsidRPr="004E73E5">
              <w:rPr>
                <w:rFonts w:ascii="SegoeUI" w:eastAsiaTheme="minorHAnsi" w:hAnsi="SegoeUI" w:cs="SegoeUI"/>
                <w:lang w:val="en-GB"/>
              </w:rPr>
              <w:t>diversity.</w:t>
            </w:r>
          </w:p>
          <w:p w14:paraId="4C948F42" w14:textId="6DD29530" w:rsidR="004E73E5" w:rsidRDefault="004E73E5" w:rsidP="004E73E5">
            <w:pPr>
              <w:numPr>
                <w:ilvl w:val="0"/>
                <w:numId w:val="1"/>
              </w:numPr>
              <w:tabs>
                <w:tab w:val="left" w:pos="420"/>
              </w:tabs>
              <w:spacing w:before="120" w:after="120"/>
              <w:ind w:left="420" w:right="372" w:hanging="283"/>
              <w:jc w:val="both"/>
            </w:pPr>
            <w:r>
              <w:rPr>
                <w:rFonts w:ascii="SegoeUI" w:eastAsiaTheme="minorHAnsi" w:hAnsi="SegoeUI" w:cs="SegoeUI"/>
                <w:lang w:val="en-GB"/>
              </w:rPr>
              <w:t>Resilience in all aspects of operational delivery.</w:t>
            </w:r>
          </w:p>
        </w:tc>
      </w:tr>
    </w:tbl>
    <w:p w14:paraId="54B0B132" w14:textId="77777777" w:rsidR="00004358" w:rsidRDefault="00004358" w:rsidP="00F314A5"/>
    <w:sectPr w:rsidR="00004358" w:rsidSect="00F314A5">
      <w:type w:val="continuous"/>
      <w:pgSz w:w="11920" w:h="16850"/>
      <w:pgMar w:top="709" w:right="48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30C"/>
    <w:multiLevelType w:val="hybridMultilevel"/>
    <w:tmpl w:val="5B403D9E"/>
    <w:lvl w:ilvl="0" w:tplc="235E131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94427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6D26E5A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3A94D14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9B1C1D5C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 w:tplc="CB12309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6" w:tplc="F0F47A1E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7" w:tplc="728CC97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57863D44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3A1763"/>
    <w:multiLevelType w:val="hybridMultilevel"/>
    <w:tmpl w:val="EAAA2DEC"/>
    <w:lvl w:ilvl="0" w:tplc="373682F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223C5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7B3E67F0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EBC8F80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E1AE5A9C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 w:tplc="825EC5C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6" w:tplc="A49CA20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7" w:tplc="90C69EF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A7E0F060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740916"/>
    <w:multiLevelType w:val="hybridMultilevel"/>
    <w:tmpl w:val="7B7A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5016"/>
    <w:multiLevelType w:val="hybridMultilevel"/>
    <w:tmpl w:val="327E6FD6"/>
    <w:lvl w:ilvl="0" w:tplc="F2368D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F4536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291A184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2BFCB12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F91AF856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 w:tplc="997EFD40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6" w:tplc="07C8F29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7" w:tplc="1352A04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CB1CA29E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9105C2"/>
    <w:multiLevelType w:val="hybridMultilevel"/>
    <w:tmpl w:val="47A0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7EF"/>
    <w:multiLevelType w:val="hybridMultilevel"/>
    <w:tmpl w:val="0D5C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5431"/>
    <w:multiLevelType w:val="hybridMultilevel"/>
    <w:tmpl w:val="265E3602"/>
    <w:lvl w:ilvl="0" w:tplc="619AC5E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62CB0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B956B7BA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FF46CD5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A0B857D4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 w:tplc="D90C586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6" w:tplc="6C72F31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7" w:tplc="7EE0E7D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6F22F944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D60CBB"/>
    <w:multiLevelType w:val="hybridMultilevel"/>
    <w:tmpl w:val="1B8C14AC"/>
    <w:lvl w:ilvl="0" w:tplc="59101C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1CA7B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F07A34BC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7E18EEE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D452E758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 w:tplc="CC72C10A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6" w:tplc="4A18EA2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7" w:tplc="920A1DD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EEA82B32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D160E4"/>
    <w:multiLevelType w:val="hybridMultilevel"/>
    <w:tmpl w:val="C3F06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A0908"/>
    <w:multiLevelType w:val="hybridMultilevel"/>
    <w:tmpl w:val="318C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25BEB"/>
    <w:multiLevelType w:val="hybridMultilevel"/>
    <w:tmpl w:val="FA2C06D2"/>
    <w:lvl w:ilvl="0" w:tplc="19FC5C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E27FC0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704C758A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BB960FB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5BBA6122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 w:tplc="AA6C9F44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6" w:tplc="8F067F0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7" w:tplc="E0AA91FE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6A4A3B10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num w:numId="1" w16cid:durableId="1270971221">
    <w:abstractNumId w:val="3"/>
  </w:num>
  <w:num w:numId="2" w16cid:durableId="1740595918">
    <w:abstractNumId w:val="10"/>
  </w:num>
  <w:num w:numId="3" w16cid:durableId="1827087072">
    <w:abstractNumId w:val="1"/>
  </w:num>
  <w:num w:numId="4" w16cid:durableId="346949966">
    <w:abstractNumId w:val="0"/>
  </w:num>
  <w:num w:numId="5" w16cid:durableId="1221592767">
    <w:abstractNumId w:val="7"/>
  </w:num>
  <w:num w:numId="6" w16cid:durableId="2108698529">
    <w:abstractNumId w:val="6"/>
  </w:num>
  <w:num w:numId="7" w16cid:durableId="1449203030">
    <w:abstractNumId w:val="5"/>
  </w:num>
  <w:num w:numId="8" w16cid:durableId="1204294588">
    <w:abstractNumId w:val="8"/>
  </w:num>
  <w:num w:numId="9" w16cid:durableId="1690721617">
    <w:abstractNumId w:val="2"/>
  </w:num>
  <w:num w:numId="10" w16cid:durableId="661392935">
    <w:abstractNumId w:val="4"/>
  </w:num>
  <w:num w:numId="11" w16cid:durableId="1323509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D6"/>
    <w:rsid w:val="00004358"/>
    <w:rsid w:val="00011455"/>
    <w:rsid w:val="000F538F"/>
    <w:rsid w:val="00122A83"/>
    <w:rsid w:val="00246C78"/>
    <w:rsid w:val="00254BD9"/>
    <w:rsid w:val="00367723"/>
    <w:rsid w:val="00395CF1"/>
    <w:rsid w:val="003A34E4"/>
    <w:rsid w:val="003B3059"/>
    <w:rsid w:val="0041483C"/>
    <w:rsid w:val="0048440E"/>
    <w:rsid w:val="004E73E5"/>
    <w:rsid w:val="005324DC"/>
    <w:rsid w:val="005B0CE3"/>
    <w:rsid w:val="005D38A4"/>
    <w:rsid w:val="005F5E3B"/>
    <w:rsid w:val="00612ADB"/>
    <w:rsid w:val="006200DF"/>
    <w:rsid w:val="00635B2C"/>
    <w:rsid w:val="00757C6D"/>
    <w:rsid w:val="0078757C"/>
    <w:rsid w:val="007C4308"/>
    <w:rsid w:val="007D1630"/>
    <w:rsid w:val="007D198F"/>
    <w:rsid w:val="00800CDD"/>
    <w:rsid w:val="008B37F6"/>
    <w:rsid w:val="008C2F1E"/>
    <w:rsid w:val="009168DA"/>
    <w:rsid w:val="00936939"/>
    <w:rsid w:val="009B5FD7"/>
    <w:rsid w:val="009C4772"/>
    <w:rsid w:val="009D4D3D"/>
    <w:rsid w:val="00A0625E"/>
    <w:rsid w:val="00AA2664"/>
    <w:rsid w:val="00B158D6"/>
    <w:rsid w:val="00B307E2"/>
    <w:rsid w:val="00B67FD7"/>
    <w:rsid w:val="00CC329C"/>
    <w:rsid w:val="00CE0CEF"/>
    <w:rsid w:val="00D448C6"/>
    <w:rsid w:val="00E055FC"/>
    <w:rsid w:val="00E143E6"/>
    <w:rsid w:val="00E311BC"/>
    <w:rsid w:val="00E87D30"/>
    <w:rsid w:val="00EE41D3"/>
    <w:rsid w:val="00F22358"/>
    <w:rsid w:val="00F314A5"/>
    <w:rsid w:val="00F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D314"/>
  <w15:docId w15:val="{A18027C6-AD89-4BF9-9E52-ED58F97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7"/>
    </w:pPr>
  </w:style>
  <w:style w:type="character" w:styleId="CommentReference">
    <w:name w:val="annotation reference"/>
    <w:basedOn w:val="DefaultParagraphFont"/>
    <w:uiPriority w:val="99"/>
    <w:semiHidden/>
    <w:unhideWhenUsed/>
    <w:rsid w:val="00620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0DF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0DF"/>
    <w:rPr>
      <w:rFonts w:ascii="Segoe UI" w:eastAsia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0DF"/>
    <w:pPr>
      <w:widowControl/>
      <w:autoSpaceDE/>
      <w:autoSpaceDN/>
    </w:pPr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DF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Knapper</dc:creator>
  <cp:lastModifiedBy>Ashley Guest</cp:lastModifiedBy>
  <cp:revision>2</cp:revision>
  <dcterms:created xsi:type="dcterms:W3CDTF">2023-03-07T15:23:00Z</dcterms:created>
  <dcterms:modified xsi:type="dcterms:W3CDTF">2023-03-07T15:23:00Z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Word 2016</vt:lpwstr>
  </property>
</Properties>
</file>